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7594B969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F24CF7">
        <w:rPr>
          <w:rFonts w:ascii="Arial" w:hAnsi="Arial" w:cs="Arial"/>
          <w:b/>
          <w:bCs/>
          <w:sz w:val="24"/>
        </w:rPr>
        <w:t>4771</w:t>
      </w:r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3A5E292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90209">
        <w:rPr>
          <w:rFonts w:ascii="Arial" w:hAnsi="Arial" w:cs="Arial"/>
          <w:b/>
        </w:rPr>
        <w:t>NTT DOCOMO</w:t>
      </w:r>
      <w:r w:rsidR="00755329">
        <w:rPr>
          <w:rFonts w:ascii="Arial" w:hAnsi="Arial" w:cs="Arial"/>
          <w:b/>
        </w:rPr>
        <w:t>, Nokia</w:t>
      </w:r>
    </w:p>
    <w:p w14:paraId="765619B3" w14:textId="6E4C7295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E90209">
        <w:rPr>
          <w:rFonts w:ascii="Arial" w:hAnsi="Arial" w:cs="Arial"/>
          <w:b/>
        </w:rPr>
        <w:t>4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E90209">
        <w:rPr>
          <w:rFonts w:ascii="Arial" w:hAnsi="Arial" w:cs="Arial"/>
          <w:b/>
        </w:rPr>
        <w:t>s</w:t>
      </w:r>
      <w:r w:rsidR="0098450C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71A3FEE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755329">
        <w:rPr>
          <w:rFonts w:ascii="Arial" w:hAnsi="Arial" w:cs="Arial"/>
          <w:b/>
        </w:rPr>
        <w:t>3</w:t>
      </w:r>
    </w:p>
    <w:p w14:paraId="456D2A75" w14:textId="7C8D9F3F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E90209">
        <w:rPr>
          <w:rFonts w:ascii="Arial" w:hAnsi="Arial" w:cs="Arial"/>
          <w:b/>
        </w:rPr>
        <w:t>XRM_Ph2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B37E0D5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 xml:space="preserve">proposes </w:t>
      </w:r>
      <w:r w:rsidR="00755329">
        <w:rPr>
          <w:rFonts w:ascii="Arial" w:hAnsi="Arial" w:cs="Arial"/>
          <w:i/>
          <w:iCs/>
        </w:rPr>
        <w:t xml:space="preserve">interim </w:t>
      </w:r>
      <w:r w:rsidR="00AC31CB">
        <w:rPr>
          <w:rFonts w:ascii="Arial" w:hAnsi="Arial" w:cs="Arial"/>
          <w:i/>
          <w:iCs/>
        </w:rPr>
        <w:t>conclusion</w:t>
      </w:r>
      <w:r w:rsidR="00755329">
        <w:rPr>
          <w:rFonts w:ascii="Arial" w:hAnsi="Arial" w:cs="Arial"/>
          <w:i/>
          <w:iCs/>
        </w:rPr>
        <w:t>s for KI#4</w:t>
      </w:r>
      <w:r w:rsidR="00AC31CB">
        <w:rPr>
          <w:rFonts w:ascii="Arial" w:hAnsi="Arial" w:cs="Arial"/>
          <w:i/>
          <w:iCs/>
        </w:rPr>
        <w:t xml:space="preserve"> 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49D18AE" w14:textId="77777777" w:rsidR="00755329" w:rsidRDefault="00AC31CB" w:rsidP="00C21B73">
      <w:pPr>
        <w:rPr>
          <w:rFonts w:eastAsiaTheme="minorEastAsia"/>
          <w:noProof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755329">
        <w:rPr>
          <w:rFonts w:eastAsiaTheme="minorEastAsia"/>
          <w:noProof/>
          <w:color w:val="auto"/>
          <w:lang w:eastAsia="en-US"/>
        </w:rPr>
        <w:t xml:space="preserve">interim </w:t>
      </w:r>
      <w:r w:rsidRPr="00AC31CB">
        <w:rPr>
          <w:rFonts w:eastAsiaTheme="minorEastAsia"/>
          <w:noProof/>
          <w:color w:val="auto"/>
          <w:lang w:eastAsia="en-US"/>
        </w:rPr>
        <w:t>conclusion principles for key issue #</w:t>
      </w:r>
      <w:r w:rsidR="00755329">
        <w:rPr>
          <w:rFonts w:eastAsiaTheme="minorEastAsia"/>
          <w:noProof/>
          <w:color w:val="auto"/>
          <w:lang w:eastAsia="en-US"/>
        </w:rPr>
        <w:t>4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78544735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755329">
        <w:rPr>
          <w:rFonts w:eastAsiaTheme="minorEastAsia"/>
          <w:color w:val="auto"/>
          <w:lang w:eastAsia="en-US"/>
        </w:rPr>
        <w:t>70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3FF96ECA" w14:textId="67DBFA1C" w:rsidR="00947256" w:rsidRPr="00E77E04" w:rsidRDefault="00AC31CB" w:rsidP="00947256">
      <w:pPr>
        <w:pStyle w:val="Heading2"/>
        <w:rPr>
          <w:rFonts w:eastAsia="DengXian"/>
        </w:rPr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"/>
      <w:bookmarkEnd w:id="4"/>
      <w:bookmarkEnd w:id="5"/>
      <w:bookmarkEnd w:id="6"/>
      <w:bookmarkEnd w:id="7"/>
      <w:r>
        <w:rPr>
          <w:rFonts w:eastAsia="DengXian"/>
        </w:rPr>
        <w:t>Key Issue #</w:t>
      </w:r>
      <w:r w:rsidR="0023104B">
        <w:rPr>
          <w:rFonts w:eastAsia="DengXian"/>
        </w:rPr>
        <w:t>4</w:t>
      </w:r>
      <w:r>
        <w:rPr>
          <w:rFonts w:eastAsia="DengXian"/>
        </w:rPr>
        <w:t xml:space="preserve"> </w:t>
      </w:r>
      <w:r w:rsidR="0023104B">
        <w:rPr>
          <w:rFonts w:eastAsia="DengXian"/>
        </w:rPr>
        <w:t>Interim c</w:t>
      </w:r>
      <w:r>
        <w:rPr>
          <w:rFonts w:eastAsia="DengXian"/>
        </w:rPr>
        <w:t>onclusions</w:t>
      </w:r>
      <w:r w:rsidR="00947256" w:rsidRPr="00031501">
        <w:rPr>
          <w:rFonts w:eastAsia="DengXian"/>
        </w:rPr>
        <w:t xml:space="preserve"> </w:t>
      </w:r>
    </w:p>
    <w:p w14:paraId="212B2387" w14:textId="19172386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8A4C36">
        <w:t>4</w:t>
      </w:r>
      <w:r>
        <w:t>.</w:t>
      </w:r>
    </w:p>
    <w:p w14:paraId="06D34480" w14:textId="5F2908B0" w:rsidR="00CF5827" w:rsidRPr="00BC3461" w:rsidRDefault="00BC3461" w:rsidP="00BC3461">
      <w:pPr>
        <w:pStyle w:val="B1"/>
      </w:pPr>
      <w:r>
        <w:t>1.</w:t>
      </w:r>
      <w:r>
        <w:tab/>
      </w:r>
      <w:r w:rsidR="00CF5827" w:rsidRPr="00BC3461">
        <w:t>The multiple media sub-flows may be multiplexed into a single transport protocol media flow. Either PDU Set based handling or ordinary QoS based handling may be applied to each sub-flow.</w:t>
      </w:r>
    </w:p>
    <w:p w14:paraId="5B9E1E0F" w14:textId="48055E00" w:rsidR="00B714FD" w:rsidRDefault="00BC3461" w:rsidP="00BC3461">
      <w:pPr>
        <w:pStyle w:val="B1"/>
      </w:pPr>
      <w:r>
        <w:t>2.</w:t>
      </w:r>
      <w:r>
        <w:tab/>
      </w:r>
      <w:r w:rsidR="00CF5827" w:rsidRPr="00BC3461">
        <w:t xml:space="preserve">The sub-flows that require different QoS </w:t>
      </w:r>
      <w:r w:rsidR="00B714FD" w:rsidRPr="00BC3461">
        <w:t>treatment are mapped to distinct QoS Flows. The sub-flows that share the same QoS requirements can be mapped to the same QoS Flow.</w:t>
      </w:r>
    </w:p>
    <w:p w14:paraId="1F3A5668" w14:textId="5E798BA3" w:rsidR="00325209" w:rsidRDefault="00BC3461" w:rsidP="00BC3461">
      <w:pPr>
        <w:pStyle w:val="B1"/>
      </w:pPr>
      <w:r>
        <w:t xml:space="preserve">3. </w:t>
      </w:r>
      <w:r>
        <w:tab/>
        <w:t xml:space="preserve">The AF may </w:t>
      </w:r>
      <w:r w:rsidR="00B968DC">
        <w:t>provide</w:t>
      </w:r>
      <w:r>
        <w:t xml:space="preserve"> "Application </w:t>
      </w:r>
      <w:r w:rsidR="00B968DC" w:rsidRPr="00FF7453">
        <w:t>Layer Packet Filter</w:t>
      </w:r>
      <w:r w:rsidR="00B968DC">
        <w:t>” parameter</w:t>
      </w:r>
      <w:r w:rsidR="00B968DC" w:rsidRPr="00FF7453">
        <w:t xml:space="preserve"> </w:t>
      </w:r>
      <w:r w:rsidR="00B968DC">
        <w:t>along with</w:t>
      </w:r>
      <w:r w:rsidR="00B968DC" w:rsidRPr="00FF7453">
        <w:t xml:space="preserve"> the IP Packet Filter</w:t>
      </w:r>
      <w:r w:rsidR="00B968DC">
        <w:t xml:space="preserve"> in the </w:t>
      </w:r>
      <w:r w:rsidR="00325209">
        <w:t>"</w:t>
      </w:r>
      <w:r w:rsidR="00325209">
        <w:rPr>
          <w:rStyle w:val="fontstyle01"/>
        </w:rPr>
        <w:t>AF session with required QoS" procedure</w:t>
      </w:r>
      <w:r w:rsidR="00325209">
        <w:t xml:space="preserve"> </w:t>
      </w:r>
      <w:r w:rsidR="00B968DC">
        <w:t>to the NEF</w:t>
      </w:r>
      <w:r w:rsidR="00325209">
        <w:t>/PCF</w:t>
      </w:r>
      <w:r w:rsidR="00B968DC">
        <w:t xml:space="preserve">. The "Application </w:t>
      </w:r>
      <w:r w:rsidR="00B968DC" w:rsidRPr="00FF7453">
        <w:t>Layer Packet Filter</w:t>
      </w:r>
      <w:r w:rsidR="00B968DC">
        <w:t>” is used to identify the media sub-flow among multiple sub-flows that share the same IP Packet Filter.</w:t>
      </w:r>
    </w:p>
    <w:p w14:paraId="34DC3D35" w14:textId="2238843A" w:rsidR="004D3E55" w:rsidRDefault="004D3E55" w:rsidP="004D3E55">
      <w:pPr>
        <w:pStyle w:val="B2"/>
      </w:pPr>
      <w:r>
        <w:t xml:space="preserve">a) </w:t>
      </w:r>
      <w:r>
        <w:tab/>
        <w:t xml:space="preserve">The media sub-streams that are transported in RTP or SRTP can be identified in the "Application </w:t>
      </w:r>
      <w:r w:rsidRPr="00FF7453">
        <w:t>Layer Packet Filter</w:t>
      </w:r>
      <w:r>
        <w:t>” parameter</w:t>
      </w:r>
      <w:r w:rsidRPr="00FF7453">
        <w:t xml:space="preserve"> </w:t>
      </w:r>
      <w:r>
        <w:t>based on the Synchronization Source (SSRC) and Payload Type (PT) header fields.</w:t>
      </w:r>
    </w:p>
    <w:p w14:paraId="109E10CB" w14:textId="35F777B7" w:rsidR="00FC644E" w:rsidRDefault="0094161C" w:rsidP="004D3E55">
      <w:pPr>
        <w:pStyle w:val="B2"/>
      </w:pPr>
      <w:r>
        <w:t>b</w:t>
      </w:r>
      <w:r w:rsidR="00FC644E">
        <w:t>)</w:t>
      </w:r>
      <w:r w:rsidR="00FC644E">
        <w:tab/>
        <w:t xml:space="preserve">How the media sub-flows that are transported over encrypted transport protocol can be identified is concluded in Key Issue #2. </w:t>
      </w:r>
    </w:p>
    <w:p w14:paraId="6C07E88B" w14:textId="0F22B74E" w:rsidR="004D3E55" w:rsidRDefault="004D3E55" w:rsidP="00BC3461">
      <w:pPr>
        <w:pStyle w:val="B1"/>
      </w:pPr>
      <w:r>
        <w:t xml:space="preserve">4. </w:t>
      </w:r>
      <w:r w:rsidR="00755329">
        <w:tab/>
      </w:r>
      <w:r>
        <w:t xml:space="preserve">The AF may provide distinct PDU Set QoS parameters, Protocol </w:t>
      </w:r>
      <w:proofErr w:type="gramStart"/>
      <w:r>
        <w:t>Description</w:t>
      </w:r>
      <w:proofErr w:type="gramEnd"/>
      <w:r>
        <w:t xml:space="preserve"> and traffic characteristics for each media sub-flow.</w:t>
      </w:r>
    </w:p>
    <w:p w14:paraId="29C3CAF1" w14:textId="67D67D32" w:rsidR="00DC6FAF" w:rsidRDefault="00FC644E" w:rsidP="00BC3461">
      <w:pPr>
        <w:pStyle w:val="B1"/>
        <w:rPr>
          <w:rStyle w:val="fontstyle01"/>
          <w:rFonts w:hint="eastAsia"/>
        </w:rPr>
      </w:pPr>
      <w:r>
        <w:t>5.</w:t>
      </w:r>
      <w:r>
        <w:tab/>
        <w:t>The AF may provide the</w:t>
      </w:r>
      <w:r w:rsidR="008E4886">
        <w:t xml:space="preserve"> multiple sub-flows with the associated "Application </w:t>
      </w:r>
      <w:r w:rsidR="008E4886" w:rsidRPr="00FF7453">
        <w:t>Layer Packet Filter</w:t>
      </w:r>
      <w:r w:rsidR="008E4886">
        <w:t>” and QoS requirements in a single</w:t>
      </w:r>
      <w:r w:rsidR="00DC6FAF">
        <w:t xml:space="preserve"> "</w:t>
      </w:r>
      <w:r w:rsidR="00DC6FAF">
        <w:rPr>
          <w:rStyle w:val="fontstyle01"/>
        </w:rPr>
        <w:t>AF session with required QoS" procedure request. In this case, Rel-18 multi-modal procedure is used to allow the AF to provide multiple IP flow descriptions in a single request.</w:t>
      </w:r>
    </w:p>
    <w:p w14:paraId="7B6CC4D1" w14:textId="53760708" w:rsidR="00FC644E" w:rsidRDefault="00DC6FAF" w:rsidP="00BC3461">
      <w:pPr>
        <w:pStyle w:val="B1"/>
      </w:pPr>
      <w:r>
        <w:rPr>
          <w:rStyle w:val="fontstyle01"/>
        </w:rPr>
        <w:t xml:space="preserve">6. </w:t>
      </w:r>
      <w:r w:rsidR="00D01DC1">
        <w:rPr>
          <w:rStyle w:val="fontstyle01"/>
        </w:rPr>
        <w:tab/>
        <w:t>T</w:t>
      </w:r>
      <w:r>
        <w:t xml:space="preserve">he AF may provide each media sub-flow with the associated "Application </w:t>
      </w:r>
      <w:r w:rsidRPr="00FF7453">
        <w:t>Layer Packet Filter</w:t>
      </w:r>
      <w:r>
        <w:t>” and QoS requirements in a separate "</w:t>
      </w:r>
      <w:r>
        <w:rPr>
          <w:rStyle w:val="fontstyle01"/>
        </w:rPr>
        <w:t>AF session with required QoS" procedure request</w:t>
      </w:r>
      <w:r w:rsidR="00D01DC1">
        <w:rPr>
          <w:rStyle w:val="fontstyle01"/>
        </w:rPr>
        <w:t>.</w:t>
      </w:r>
      <w:r>
        <w:t xml:space="preserve"> </w:t>
      </w:r>
      <w:r w:rsidR="008E4886">
        <w:t xml:space="preserve">    </w:t>
      </w:r>
      <w:r w:rsidR="00FC644E">
        <w:t xml:space="preserve">  </w:t>
      </w:r>
    </w:p>
    <w:p w14:paraId="371AB8C9" w14:textId="11B28A83" w:rsidR="00C947EA" w:rsidRDefault="00DC6FAF" w:rsidP="00D01DC1">
      <w:pPr>
        <w:pStyle w:val="B1"/>
      </w:pPr>
      <w:r>
        <w:t>7</w:t>
      </w:r>
      <w:r w:rsidR="00C947EA">
        <w:t xml:space="preserve">. </w:t>
      </w:r>
      <w:r w:rsidR="00C947EA">
        <w:tab/>
        <w:t>PCF creates a distinct PCC rule for</w:t>
      </w:r>
      <w:r>
        <w:t xml:space="preserve"> </w:t>
      </w:r>
      <w:r w:rsidR="00D01DC1">
        <w:t xml:space="preserve">each </w:t>
      </w:r>
      <w:r w:rsidR="00C947EA">
        <w:t>sub-flow</w:t>
      </w:r>
      <w:r w:rsidR="00D01DC1">
        <w:t xml:space="preserve"> that is provided with the "Application </w:t>
      </w:r>
      <w:r w:rsidR="00D01DC1" w:rsidRPr="00FF7453">
        <w:t>Layer Packet Filter</w:t>
      </w:r>
      <w:r w:rsidR="00D01DC1">
        <w:t xml:space="preserve">”. </w:t>
      </w:r>
      <w:r w:rsidR="00C947EA">
        <w:t xml:space="preserve">The PCC rule is extended with the "Application </w:t>
      </w:r>
      <w:r w:rsidR="00C947EA" w:rsidRPr="00FF7453">
        <w:t>Layer Packet Filter</w:t>
      </w:r>
      <w:r w:rsidR="00C947EA">
        <w:t>”.</w:t>
      </w:r>
    </w:p>
    <w:p w14:paraId="4638D583" w14:textId="59463C98" w:rsidR="00D01DC1" w:rsidRDefault="00D244F4" w:rsidP="00325209">
      <w:pPr>
        <w:pStyle w:val="B1"/>
        <w:rPr>
          <w:lang w:eastAsia="zh-CN"/>
        </w:rPr>
      </w:pPr>
      <w:r>
        <w:rPr>
          <w:lang w:eastAsia="zh-CN"/>
        </w:rPr>
        <w:t>8</w:t>
      </w:r>
      <w:r w:rsidR="00C947EA">
        <w:rPr>
          <w:lang w:eastAsia="zh-CN"/>
        </w:rPr>
        <w:t xml:space="preserve">. </w:t>
      </w:r>
      <w:r w:rsidR="00C947EA">
        <w:rPr>
          <w:lang w:eastAsia="zh-CN"/>
        </w:rPr>
        <w:tab/>
      </w:r>
      <w:r w:rsidR="00D01DC1">
        <w:rPr>
          <w:lang w:eastAsia="zh-CN"/>
        </w:rPr>
        <w:t>The SMF</w:t>
      </w:r>
      <w:r>
        <w:rPr>
          <w:lang w:eastAsia="zh-CN"/>
        </w:rPr>
        <w:t xml:space="preserve"> binds the sub-flows that require different QoS treatment into different QoS Flows.</w:t>
      </w:r>
    </w:p>
    <w:p w14:paraId="260745AC" w14:textId="778B67CA" w:rsidR="00B968DC" w:rsidRDefault="00D244F4" w:rsidP="00325209">
      <w:pPr>
        <w:pStyle w:val="B1"/>
      </w:pPr>
      <w:r>
        <w:rPr>
          <w:lang w:eastAsia="zh-CN"/>
        </w:rPr>
        <w:lastRenderedPageBreak/>
        <w:t>9</w:t>
      </w:r>
      <w:r w:rsidR="00D01DC1">
        <w:rPr>
          <w:lang w:eastAsia="zh-CN"/>
        </w:rPr>
        <w:t xml:space="preserve">. </w:t>
      </w:r>
      <w:r w:rsidR="00D01DC1">
        <w:rPr>
          <w:lang w:eastAsia="zh-CN"/>
        </w:rPr>
        <w:tab/>
      </w:r>
      <w:r w:rsidR="00C947EA">
        <w:rPr>
          <w:lang w:eastAsia="zh-CN"/>
        </w:rPr>
        <w:t xml:space="preserve">SMF provides the </w:t>
      </w:r>
      <w:r w:rsidR="00C947EA">
        <w:t xml:space="preserve">"Application </w:t>
      </w:r>
      <w:r w:rsidR="00C947EA" w:rsidRPr="00FF7453">
        <w:t>Layer Packet Filter</w:t>
      </w:r>
      <w:r w:rsidR="00C947EA">
        <w:t xml:space="preserve">” to the UPF in the PDR. </w:t>
      </w:r>
      <w:r w:rsidR="00FC644E">
        <w:t xml:space="preserve">The PDI in PDR is extended to include the "Application </w:t>
      </w:r>
      <w:r w:rsidR="00FC644E" w:rsidRPr="00FF7453">
        <w:t>Layer Packet Filter</w:t>
      </w:r>
      <w:r w:rsidR="00FC644E">
        <w:t>”.</w:t>
      </w:r>
      <w:r w:rsidR="00C947EA">
        <w:t xml:space="preserve"> </w:t>
      </w:r>
      <w:r w:rsidR="00325209">
        <w:rPr>
          <w:lang w:eastAsia="zh-CN"/>
        </w:rPr>
        <w:t xml:space="preserve">   </w:t>
      </w:r>
      <w:r w:rsidR="00B968DC">
        <w:t xml:space="preserve"> </w:t>
      </w:r>
    </w:p>
    <w:p w14:paraId="3785A2AB" w14:textId="3A19B2AF" w:rsidR="00CF5827" w:rsidRDefault="00CF5827" w:rsidP="00BC3461">
      <w:pPr>
        <w:pStyle w:val="B1"/>
        <w:rPr>
          <w:lang w:eastAsia="zh-CN"/>
        </w:rPr>
      </w:pPr>
      <w:r>
        <w:rPr>
          <w:lang w:eastAsia="zh-CN"/>
        </w:rPr>
        <w:t xml:space="preserve">  </w:t>
      </w:r>
    </w:p>
    <w:p w14:paraId="67EA4376" w14:textId="7D80393E" w:rsidR="00733D4D" w:rsidRDefault="00AC31CB" w:rsidP="00AC31CB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lang w:eastAsia="zh-CN"/>
        </w:rPr>
        <w:tab/>
        <w:t>The above conclusion principles are only tentatively agreed.</w:t>
      </w:r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F0114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4F7B0" w14:textId="77777777" w:rsidR="00F0114C" w:rsidRDefault="00F0114C">
      <w:pPr>
        <w:spacing w:after="0"/>
      </w:pPr>
      <w:r>
        <w:separator/>
      </w:r>
    </w:p>
  </w:endnote>
  <w:endnote w:type="continuationSeparator" w:id="0">
    <w:p w14:paraId="68F9E886" w14:textId="77777777" w:rsidR="00F0114C" w:rsidRDefault="00F0114C">
      <w:pPr>
        <w:spacing w:after="0"/>
      </w:pPr>
      <w:r>
        <w:continuationSeparator/>
      </w:r>
    </w:p>
  </w:endnote>
  <w:endnote w:type="continuationNotice" w:id="1">
    <w:p w14:paraId="62AA4748" w14:textId="77777777" w:rsidR="00F0114C" w:rsidRDefault="00F011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1CB9" w14:textId="77777777" w:rsidR="00F0114C" w:rsidRDefault="00F0114C">
      <w:pPr>
        <w:spacing w:after="0"/>
      </w:pPr>
      <w:r>
        <w:separator/>
      </w:r>
    </w:p>
  </w:footnote>
  <w:footnote w:type="continuationSeparator" w:id="0">
    <w:p w14:paraId="13E631B8" w14:textId="77777777" w:rsidR="00F0114C" w:rsidRDefault="00F0114C">
      <w:pPr>
        <w:spacing w:after="0"/>
      </w:pPr>
      <w:r>
        <w:continuationSeparator/>
      </w:r>
    </w:p>
  </w:footnote>
  <w:footnote w:type="continuationNotice" w:id="1">
    <w:p w14:paraId="1324ECAE" w14:textId="77777777" w:rsidR="00F0114C" w:rsidRDefault="00F011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4"/>
  </w:num>
  <w:num w:numId="3" w16cid:durableId="1841890374">
    <w:abstractNumId w:val="30"/>
  </w:num>
  <w:num w:numId="4" w16cid:durableId="751587040">
    <w:abstractNumId w:val="7"/>
  </w:num>
  <w:num w:numId="5" w16cid:durableId="188179114">
    <w:abstractNumId w:val="21"/>
  </w:num>
  <w:num w:numId="6" w16cid:durableId="798492715">
    <w:abstractNumId w:val="13"/>
  </w:num>
  <w:num w:numId="7" w16cid:durableId="1992825050">
    <w:abstractNumId w:val="29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19"/>
  </w:num>
  <w:num w:numId="11" w16cid:durableId="1222864538">
    <w:abstractNumId w:val="14"/>
  </w:num>
  <w:num w:numId="12" w16cid:durableId="1604917374">
    <w:abstractNumId w:val="22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7"/>
  </w:num>
  <w:num w:numId="18" w16cid:durableId="915089392">
    <w:abstractNumId w:val="32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8"/>
  </w:num>
  <w:num w:numId="22" w16cid:durableId="2098549488">
    <w:abstractNumId w:val="1"/>
  </w:num>
  <w:num w:numId="23" w16cid:durableId="269434012">
    <w:abstractNumId w:val="20"/>
  </w:num>
  <w:num w:numId="24" w16cid:durableId="536698522">
    <w:abstractNumId w:val="5"/>
  </w:num>
  <w:num w:numId="25" w16cid:durableId="1034504930">
    <w:abstractNumId w:val="31"/>
  </w:num>
  <w:num w:numId="26" w16cid:durableId="328751042">
    <w:abstractNumId w:val="3"/>
  </w:num>
  <w:num w:numId="27" w16cid:durableId="2131431336">
    <w:abstractNumId w:val="26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5"/>
  </w:num>
  <w:num w:numId="31" w16cid:durableId="1937398188">
    <w:abstractNumId w:val="18"/>
  </w:num>
  <w:num w:numId="32" w16cid:durableId="12320783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082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04B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209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3E55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32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CA7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36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BB1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886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61C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4FCB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4FD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8DC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61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7EA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5827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DC1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4F4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2D9A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FA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09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2C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4C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4CF7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4E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customStyle="1" w:styleId="fontstyle01">
    <w:name w:val="fontstyle01"/>
    <w:basedOn w:val="DefaultParagraphFont"/>
    <w:rsid w:val="003252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2400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NTT DOCOMO</cp:lastModifiedBy>
  <cp:revision>2</cp:revision>
  <dcterms:created xsi:type="dcterms:W3CDTF">2024-04-05T11:23:00Z</dcterms:created>
  <dcterms:modified xsi:type="dcterms:W3CDTF">2024-04-05T11:23:00Z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